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>zwanej dalej „ustawą Pzp</w:t>
      </w:r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>aktów wykonawczych do ustawy Pzp</w:t>
      </w:r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>z rozporządzenia Ministra Rozwoju  z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art. 8 ust. 3 ustawy Pzp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art. 8 ust. 4 pkt 1 i 2 ustawy Pzp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Pzp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ust. 1 pkt 1 a ustawy Pzp),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art. 96 ust. 3b ustawy Pz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p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r w:rsidR="00D061AC" w:rsidRPr="00896EB7">
        <w:rPr>
          <w:rStyle w:val="Teksttreci"/>
          <w:rFonts w:ascii="Arial Narrow" w:hAnsi="Arial Narrow"/>
          <w:sz w:val="24"/>
        </w:rPr>
        <w:t>o  udzielenie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tym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ustawą Pz</w:t>
      </w:r>
      <w:r>
        <w:rPr>
          <w:rStyle w:val="Teksttreci"/>
          <w:rFonts w:ascii="Arial Narrow" w:hAnsi="Arial Narrow"/>
          <w:sz w:val="24"/>
          <w:szCs w:val="24"/>
        </w:rPr>
        <w:t>p</w:t>
      </w:r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Pzp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decyzji,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Podanie przez Panią/Pana danych osobowych jest wymogiem ustawowym, wynika z ww. przepisów prawa. Konsekwencją ich nie podania jest brak możliwości udziału w postępowaniu o udzielenie zamówienia publicznego i brak możliwości realizacji przez Administratora/Zamawiającego ciążących na nim obowiązków prawnych.</w:t>
      </w:r>
    </w:p>
    <w:p w:rsid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>co najmniej jedno z wyłączeń, o których mowa w art. 14 ust. 5 RODO.</w:t>
      </w:r>
    </w:p>
    <w:p w:rsidR="00294A3D" w:rsidRPr="00F1454E" w:rsidRDefault="00294A3D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5F" w:rsidRDefault="004C345F" w:rsidP="00F1454E">
      <w:r>
        <w:separator/>
      </w:r>
    </w:p>
  </w:endnote>
  <w:endnote w:type="continuationSeparator" w:id="0">
    <w:p w:rsidR="004C345F" w:rsidRDefault="004C345F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4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5F" w:rsidRDefault="004C345F" w:rsidP="00F1454E">
      <w:r>
        <w:separator/>
      </w:r>
    </w:p>
  </w:footnote>
  <w:footnote w:type="continuationSeparator" w:id="0">
    <w:p w:rsidR="004C345F" w:rsidRDefault="004C345F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42" w:rsidRPr="00F255C8" w:rsidRDefault="005F2042" w:rsidP="005F2042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4</w:t>
    </w:r>
    <w:r w:rsidR="00294A3D">
      <w:rPr>
        <w:rFonts w:ascii="Arial Narrow" w:hAnsi="Arial Narrow" w:cs="Arial"/>
      </w:rPr>
      <w:t xml:space="preserve"> do Zapytania</w:t>
    </w:r>
    <w:r w:rsidRPr="00F255C8">
      <w:rPr>
        <w:rFonts w:ascii="Arial Narrow" w:hAnsi="Arial Narrow" w:cs="Arial"/>
      </w:rPr>
      <w:t xml:space="preserve"> </w:t>
    </w:r>
  </w:p>
  <w:p w:rsidR="005F2042" w:rsidRPr="00F255C8" w:rsidRDefault="005F2042" w:rsidP="005F2042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>Znak:</w:t>
    </w:r>
    <w:r w:rsidRPr="00F255C8">
      <w:rPr>
        <w:rFonts w:ascii="Arial Narrow" w:hAnsi="Arial Narrow"/>
      </w:rPr>
      <w:t xml:space="preserve"> </w:t>
    </w:r>
    <w:r w:rsidR="00294A3D" w:rsidRPr="00294A3D">
      <w:rPr>
        <w:rFonts w:ascii="Arial Narrow" w:hAnsi="Arial Narrow"/>
      </w:rPr>
      <w:t>OK.VIII.1233.1.2019</w:t>
    </w:r>
  </w:p>
  <w:p w:rsidR="005F2042" w:rsidRPr="005F2042" w:rsidRDefault="005F2042" w:rsidP="005F2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97"/>
    <w:rsid w:val="00002F20"/>
    <w:rsid w:val="00016D15"/>
    <w:rsid w:val="000C6EA8"/>
    <w:rsid w:val="001464C1"/>
    <w:rsid w:val="00163C51"/>
    <w:rsid w:val="001B5449"/>
    <w:rsid w:val="001B7ED1"/>
    <w:rsid w:val="001C5F93"/>
    <w:rsid w:val="001F491C"/>
    <w:rsid w:val="00213AC9"/>
    <w:rsid w:val="00241A31"/>
    <w:rsid w:val="00246B41"/>
    <w:rsid w:val="00294A3D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4C345F"/>
    <w:rsid w:val="00507F88"/>
    <w:rsid w:val="0058645B"/>
    <w:rsid w:val="005E6A92"/>
    <w:rsid w:val="005F204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AB7EC1"/>
    <w:rsid w:val="00B04CA8"/>
    <w:rsid w:val="00B650F8"/>
    <w:rsid w:val="00B74F8F"/>
    <w:rsid w:val="00BF658C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DF30A2"/>
    <w:rsid w:val="00EB7CF1"/>
    <w:rsid w:val="00F1454E"/>
    <w:rsid w:val="00F25BE1"/>
    <w:rsid w:val="00F97E7E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9E84-771A-4C56-938E-3B46131F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Rak, Marek</cp:lastModifiedBy>
  <cp:revision>2</cp:revision>
  <cp:lastPrinted>2019-08-19T11:09:00Z</cp:lastPrinted>
  <dcterms:created xsi:type="dcterms:W3CDTF">2019-11-27T08:21:00Z</dcterms:created>
  <dcterms:modified xsi:type="dcterms:W3CDTF">2019-11-27T08:21:00Z</dcterms:modified>
</cp:coreProperties>
</file>