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034200" w:rsidRPr="00D65045">
          <w:rPr>
            <w:rStyle w:val="Hipercze"/>
            <w:lang w:val="en-US"/>
          </w:rPr>
          <w:t>woik19@kielce.uw.gov.pl</w:t>
        </w:r>
      </w:hyperlink>
    </w:p>
    <w:p w:rsidR="0045522D" w:rsidRPr="00D65045" w:rsidRDefault="0045522D" w:rsidP="00D401DA">
      <w:pPr>
        <w:rPr>
          <w:lang w:val="en-US"/>
        </w:rPr>
      </w:pPr>
    </w:p>
    <w:p w:rsidR="00C2599C" w:rsidRPr="00D65045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D65045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BE4583" w:rsidRPr="00D65045">
        <w:rPr>
          <w:b/>
        </w:rPr>
        <w:t xml:space="preserve">  do sprawy OK.I.2402.</w:t>
      </w:r>
      <w:r w:rsidR="0025007B" w:rsidRPr="00D65045">
        <w:rPr>
          <w:b/>
        </w:rPr>
        <w:t>8</w:t>
      </w:r>
      <w:r w:rsidR="00692C6A" w:rsidRPr="00D65045">
        <w:rPr>
          <w:b/>
        </w:rPr>
        <w:t>.2021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1D6917" w:rsidRDefault="003E351F" w:rsidP="00EC0A63">
      <w:pPr>
        <w:jc w:val="both"/>
        <w:rPr>
          <w:bCs/>
          <w:i/>
          <w:color w:val="000000" w:themeColor="text1"/>
        </w:rPr>
      </w:pPr>
      <w:r w:rsidRPr="00D65045">
        <w:t>na usługę przeprowadzenia</w:t>
      </w:r>
      <w:r w:rsidR="001C37DE" w:rsidRPr="00D65045">
        <w:t xml:space="preserve"> </w:t>
      </w:r>
      <w:r w:rsidRPr="00D65045">
        <w:t xml:space="preserve">szkolenia </w:t>
      </w:r>
      <w:r w:rsidR="00A374B0" w:rsidRPr="00D65045">
        <w:t xml:space="preserve"> </w:t>
      </w:r>
      <w:r w:rsidR="006B4EB2" w:rsidRPr="00D65045">
        <w:rPr>
          <w:b/>
        </w:rPr>
        <w:t>online</w:t>
      </w:r>
      <w:r w:rsidR="00A374B0" w:rsidRPr="00D65045">
        <w:t xml:space="preserve"> </w:t>
      </w:r>
      <w:r w:rsidR="001C37DE" w:rsidRPr="00D65045">
        <w:t xml:space="preserve"> dla</w:t>
      </w:r>
      <w:r w:rsidRPr="00D65045">
        <w:t xml:space="preserve"> </w:t>
      </w:r>
      <w:r w:rsidR="00943290" w:rsidRPr="00D65045">
        <w:rPr>
          <w:color w:val="000000" w:themeColor="text1"/>
        </w:rPr>
        <w:t xml:space="preserve"> </w:t>
      </w:r>
      <w:r w:rsidR="00467AE2" w:rsidRPr="00D65045">
        <w:rPr>
          <w:color w:val="000000" w:themeColor="text1"/>
        </w:rPr>
        <w:t xml:space="preserve">ok. </w:t>
      </w:r>
      <w:r w:rsidR="00A93819" w:rsidRPr="00A93819">
        <w:t>40</w:t>
      </w:r>
      <w:r w:rsidR="00692C6A" w:rsidRPr="00A93819">
        <w:t xml:space="preserve"> </w:t>
      </w:r>
      <w:r w:rsidR="001C37DE" w:rsidRPr="00D65045">
        <w:t>pracowników Świętokrzyskiego Urzędu Wojewódzkiego w Kielcach na temat:</w:t>
      </w:r>
      <w:r w:rsidR="00BE4583" w:rsidRPr="00D65045">
        <w:t xml:space="preserve"> </w:t>
      </w:r>
      <w:r w:rsidR="00812B7F" w:rsidRPr="00D65045">
        <w:rPr>
          <w:rFonts w:eastAsia="Calibri"/>
          <w:lang w:eastAsia="en-US"/>
        </w:rPr>
        <w:t xml:space="preserve"> </w:t>
      </w:r>
      <w:bookmarkStart w:id="0" w:name="_Hlk69291461"/>
      <w:r w:rsidR="00493E1E" w:rsidRPr="00D65045">
        <w:rPr>
          <w:rFonts w:eastAsia="Calibri"/>
          <w:lang w:eastAsia="en-US"/>
        </w:rPr>
        <w:t>„</w:t>
      </w:r>
      <w:r w:rsidR="0025007B" w:rsidRPr="00D65045">
        <w:rPr>
          <w:bCs/>
          <w:i/>
          <w:color w:val="000000" w:themeColor="text1"/>
        </w:rPr>
        <w:t>Środki odwoławcze i nadzorcze w postępowaniu administracyjnym”</w:t>
      </w:r>
      <w:bookmarkEnd w:id="0"/>
      <w:r w:rsidR="0025007B" w:rsidRPr="00D65045">
        <w:rPr>
          <w:bCs/>
          <w:i/>
          <w:color w:val="000000" w:themeColor="text1"/>
        </w:rPr>
        <w:t xml:space="preserve">. </w:t>
      </w:r>
    </w:p>
    <w:p w:rsidR="007160D8" w:rsidRPr="00D65045" w:rsidRDefault="007160D8" w:rsidP="00EC0A63">
      <w:pPr>
        <w:jc w:val="both"/>
        <w:rPr>
          <w:b/>
          <w:bCs/>
          <w:color w:val="FF0000"/>
        </w:rPr>
      </w:pPr>
    </w:p>
    <w:p w:rsidR="001D6917" w:rsidRPr="00D65045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</w:t>
      </w:r>
    </w:p>
    <w:p w:rsidR="0025007B" w:rsidRPr="00D65045" w:rsidRDefault="001C37DE" w:rsidP="0025007B">
      <w:pPr>
        <w:jc w:val="both"/>
        <w:rPr>
          <w:b/>
          <w:bCs/>
          <w:color w:val="FF0000"/>
        </w:rPr>
      </w:pPr>
      <w:r w:rsidRPr="00D65045">
        <w:t xml:space="preserve">Skarb Państwa - Świętokrzyski Urząd Wojewódzki w Kielcach -  Wydział Organizacji i Kadr zaprasza do złożenia oferty na  realizację </w:t>
      </w:r>
      <w:r w:rsidR="00E21693" w:rsidRPr="00D65045">
        <w:t xml:space="preserve">szkolenia </w:t>
      </w:r>
      <w:r w:rsidR="006B4EB2" w:rsidRPr="00D65045">
        <w:t>online</w:t>
      </w:r>
      <w:r w:rsidR="00E21693" w:rsidRPr="00D65045">
        <w:t xml:space="preserve"> </w:t>
      </w:r>
      <w:r w:rsidRPr="00D65045">
        <w:t>dla</w:t>
      </w:r>
      <w:r w:rsidR="00D43799" w:rsidRPr="00D65045">
        <w:t xml:space="preserve"> ok.</w:t>
      </w:r>
      <w:r w:rsidR="0089459F" w:rsidRPr="00D65045">
        <w:t xml:space="preserve"> </w:t>
      </w:r>
      <w:r w:rsidR="00A93819">
        <w:t>4</w:t>
      </w:r>
      <w:r w:rsidR="005D5EAD" w:rsidRPr="00A93819">
        <w:t>0</w:t>
      </w:r>
      <w:r w:rsidR="00D43799" w:rsidRPr="00D65045">
        <w:t xml:space="preserve"> </w:t>
      </w:r>
      <w:r w:rsidRPr="00D65045">
        <w:t>pracowników Świętokrzyskiego Urzędu Wojewódzkiego na temat:</w:t>
      </w:r>
      <w:bookmarkStart w:id="1" w:name="_Hlk52880056"/>
      <w:r w:rsidR="0025007B" w:rsidRPr="00D65045">
        <w:t xml:space="preserve"> </w:t>
      </w:r>
      <w:r w:rsidR="0025007B" w:rsidRPr="00D65045">
        <w:rPr>
          <w:rFonts w:eastAsia="Calibri"/>
          <w:lang w:eastAsia="en-US"/>
        </w:rPr>
        <w:t>„</w:t>
      </w:r>
      <w:r w:rsidR="0025007B" w:rsidRPr="00D65045">
        <w:rPr>
          <w:bCs/>
          <w:i/>
          <w:color w:val="000000" w:themeColor="text1"/>
        </w:rPr>
        <w:t xml:space="preserve">Środki odwoławcze i nadzorcze w postępowaniu administracyjnym”. </w:t>
      </w:r>
    </w:p>
    <w:p w:rsidR="00692C6A" w:rsidRPr="00D65045" w:rsidRDefault="00692C6A" w:rsidP="0025007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bookmarkEnd w:id="1"/>
    <w:p w:rsidR="00D66F98" w:rsidRPr="00D65045" w:rsidRDefault="00471CB2" w:rsidP="00D65045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OPIS PRZEDMIOTU ZAMÓWIENIA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>1.  Instancyjność postępowania.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 xml:space="preserve">2. Środki zaskarżenia: 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 xml:space="preserve">- zwyczajne środki zaskarżenia  </w:t>
      </w:r>
    </w:p>
    <w:p w:rsidR="0025007B" w:rsidRPr="00D65045" w:rsidRDefault="0025007B" w:rsidP="00D65045">
      <w:pPr>
        <w:rPr>
          <w:rFonts w:eastAsia="Calibri"/>
        </w:rPr>
      </w:pPr>
      <w:r w:rsidRPr="00D65045">
        <w:rPr>
          <w:rFonts w:eastAsia="Calibri"/>
        </w:rPr>
        <w:t xml:space="preserve">- nadzwyczajne środki zaskarżenia </w:t>
      </w:r>
      <w:r w:rsidRPr="00D65045">
        <w:rPr>
          <w:rFonts w:eastAsia="Calibri"/>
        </w:rPr>
        <w:br/>
        <w:t xml:space="preserve">- w przypadku decyzji o charakterze ostatecznym. 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>3. Środki odwoławcze – charakterystyka.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 xml:space="preserve">4. Wniesienia odwołania,  wymogi formalne, moc prawna. 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 xml:space="preserve">5. Problemy z zaskarżeniem niesamoistnym. 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>6. Zażalenia na postanowienia oraz na bezczynność.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 xml:space="preserve">7. Różnice pomiędzy odwołaniem a zażaleniem. 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 xml:space="preserve">8. Nadzwyczajne tryby wzruszania decyzji administracyjnych z uwzględnieniem najnowszego orzecznictwa. 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>9.Środki odwoławcze w postępowaniu sądowo-administracyjnym: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>- skarga do WSA - przekazanie sprawy administracyjnej do postępowania sądowo-administracyjnego,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>- skarga kasacyjna jako instytucja gwarantująca dwuinstancyjny model postępowania sądowo-administracyjnego,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 xml:space="preserve">- zażalenie, 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>- wznowienie postępowania sądowo-administracyjnego.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>10. Rozstrzygnięcia organów II instancji, skutki prawne.</w:t>
      </w:r>
    </w:p>
    <w:p w:rsidR="0025007B" w:rsidRPr="00D65045" w:rsidRDefault="0025007B" w:rsidP="00D65045">
      <w:pPr>
        <w:jc w:val="both"/>
        <w:rPr>
          <w:rFonts w:eastAsia="Calibri"/>
        </w:rPr>
      </w:pPr>
      <w:r w:rsidRPr="00D65045">
        <w:rPr>
          <w:rFonts w:eastAsia="Calibri"/>
        </w:rPr>
        <w:t>11.Środki nadzoru merytorycznego nad rozstrzygnięciami administracyjnym (zmiana, uchylenie decyzji administracyjnych).</w:t>
      </w:r>
    </w:p>
    <w:p w:rsidR="0025007B" w:rsidRPr="00D65045" w:rsidRDefault="0025007B" w:rsidP="0025007B">
      <w:pPr>
        <w:jc w:val="both"/>
      </w:pP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657C77" w:rsidRPr="00D65045">
        <w:rPr>
          <w:b/>
          <w:u w:val="single"/>
        </w:rPr>
        <w:t xml:space="preserve">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EF6929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SZKOLENIA</w:t>
      </w:r>
    </w:p>
    <w:p w:rsidR="00F06D5C" w:rsidRPr="00D65045" w:rsidRDefault="006B4EB2" w:rsidP="00F06D5C">
      <w:pPr>
        <w:autoSpaceDE w:val="0"/>
        <w:autoSpaceDN w:val="0"/>
        <w:adjustRightInd w:val="0"/>
        <w:jc w:val="both"/>
        <w:rPr>
          <w:b/>
        </w:rPr>
      </w:pPr>
      <w:r w:rsidRPr="00D65045">
        <w:rPr>
          <w:b/>
        </w:rPr>
        <w:t>ONLINE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TERMIN</w:t>
      </w:r>
    </w:p>
    <w:p w:rsidR="008D2351" w:rsidRPr="00D65045" w:rsidRDefault="00BE4583" w:rsidP="00EC0A63">
      <w:pPr>
        <w:autoSpaceDE w:val="0"/>
        <w:autoSpaceDN w:val="0"/>
        <w:adjustRightInd w:val="0"/>
        <w:jc w:val="both"/>
      </w:pPr>
      <w:r w:rsidRPr="00D65045">
        <w:t>Szkolenie</w:t>
      </w:r>
      <w:r w:rsidR="001C37DE" w:rsidRPr="00D65045">
        <w:t xml:space="preserve"> </w:t>
      </w:r>
      <w:r w:rsidR="002C41FB" w:rsidRPr="00D65045">
        <w:t xml:space="preserve">jednodniowe, </w:t>
      </w:r>
      <w:r w:rsidRPr="00D65045">
        <w:t xml:space="preserve">powinno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A93819">
        <w:rPr>
          <w:color w:val="000000" w:themeColor="text1"/>
        </w:rPr>
        <w:t>10.06</w:t>
      </w:r>
      <w:r w:rsidR="00CC29AA" w:rsidRPr="00D65045">
        <w:rPr>
          <w:color w:val="000000" w:themeColor="text1"/>
        </w:rPr>
        <w:t>.2021</w:t>
      </w:r>
      <w:r w:rsidR="00D157F6" w:rsidRPr="00D65045">
        <w:rPr>
          <w:color w:val="000000" w:themeColor="text1"/>
        </w:rPr>
        <w:t xml:space="preserve"> </w:t>
      </w:r>
      <w:r w:rsidR="00514FBC" w:rsidRPr="00D65045">
        <w:rPr>
          <w:color w:val="000000" w:themeColor="text1"/>
        </w:rPr>
        <w:t xml:space="preserve">r.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Zamawiającym po wyborze oferty), </w:t>
      </w:r>
      <w:r w:rsidR="001A2B8B" w:rsidRPr="00A93819">
        <w:t xml:space="preserve">w </w:t>
      </w:r>
      <w:r w:rsidR="00A93819" w:rsidRPr="00A93819">
        <w:t>jednej grupie szkoleniowej</w:t>
      </w:r>
      <w:r w:rsidR="001A2B8B" w:rsidRPr="00D65045">
        <w:t xml:space="preserve">, </w:t>
      </w:r>
      <w:r w:rsidR="001C37DE" w:rsidRPr="00D65045">
        <w:t xml:space="preserve">przy </w:t>
      </w:r>
      <w:r w:rsidR="001C37DE" w:rsidRPr="00D65045">
        <w:lastRenderedPageBreak/>
        <w:t xml:space="preserve">założeniu, że  liczba godzin nie może być mniejsza niż </w:t>
      </w:r>
      <w:r w:rsidR="00A93819">
        <w:t>7</w:t>
      </w:r>
      <w:r w:rsidR="001C37DE" w:rsidRPr="00D65045">
        <w:t xml:space="preserve"> godzin lekcyjnych </w:t>
      </w:r>
      <w:r w:rsidR="008D2351" w:rsidRPr="00D65045">
        <w:t>(godzina lekcyjna - 45 minut).</w:t>
      </w:r>
    </w:p>
    <w:p w:rsidR="0019390B" w:rsidRPr="00D65045" w:rsidRDefault="008D2351" w:rsidP="00EF6929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5C6F3E" w:rsidRPr="00D65045" w:rsidRDefault="005C6F3E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OBOWIĄZKI WYKONAWCY</w:t>
      </w:r>
    </w:p>
    <w:p w:rsidR="005C6F3E" w:rsidRPr="00D65045" w:rsidRDefault="005C6F3E" w:rsidP="00EF6929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1C37DE" w:rsidRPr="00D65045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514FBC" w:rsidRPr="00D65045">
        <w:rPr>
          <w:rFonts w:ascii="Times New Roman" w:hAnsi="Times New Roman"/>
          <w:sz w:val="24"/>
          <w:szCs w:val="24"/>
        </w:rPr>
        <w:t>yczne i metodologiczne szkolenia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D65045">
        <w:rPr>
          <w:rFonts w:ascii="Times New Roman" w:hAnsi="Times New Roman"/>
          <w:sz w:val="24"/>
          <w:szCs w:val="24"/>
        </w:rPr>
        <w:t>na temat:</w:t>
      </w:r>
      <w:r w:rsidR="003D247D" w:rsidRPr="00D65045">
        <w:rPr>
          <w:rFonts w:ascii="Times New Roman" w:hAnsi="Times New Roman"/>
          <w:sz w:val="24"/>
          <w:szCs w:val="24"/>
        </w:rPr>
        <w:t xml:space="preserve"> </w:t>
      </w:r>
    </w:p>
    <w:p w:rsidR="0025007B" w:rsidRPr="00D65045" w:rsidRDefault="0025007B" w:rsidP="00885BCA">
      <w:pPr>
        <w:rPr>
          <w:bCs/>
          <w:i/>
          <w:color w:val="000000" w:themeColor="text1"/>
        </w:rPr>
      </w:pPr>
      <w:r w:rsidRPr="00D65045">
        <w:rPr>
          <w:rFonts w:eastAsia="Calibri"/>
          <w:lang w:eastAsia="en-US"/>
        </w:rPr>
        <w:t>„</w:t>
      </w:r>
      <w:r w:rsidRPr="00D65045">
        <w:rPr>
          <w:bCs/>
          <w:i/>
          <w:color w:val="000000" w:themeColor="text1"/>
        </w:rPr>
        <w:t>Środki odwoławcze i nadzorcze w postępowaniu administracyjnym”</w:t>
      </w:r>
    </w:p>
    <w:p w:rsidR="00885BCA" w:rsidRPr="00D65045" w:rsidRDefault="00885BCA" w:rsidP="00885BC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514FBC" w:rsidRPr="00D65045">
        <w:t>rzeprowadzenie szkolenia</w:t>
      </w:r>
      <w:r w:rsidR="00541A8B" w:rsidRPr="00D65045">
        <w:t>,</w:t>
      </w:r>
      <w:r w:rsidR="007E5C10" w:rsidRPr="00D65045">
        <w:t xml:space="preserve"> 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 xml:space="preserve">formacje przekazane na szkoleniach </w:t>
      </w:r>
      <w:r w:rsidR="00541A8B" w:rsidRPr="00D65045">
        <w:t xml:space="preserve">(dopuszczalna wersja elektroniczna), </w:t>
      </w:r>
    </w:p>
    <w:p w:rsidR="00885BCA" w:rsidRPr="00D65045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</w:t>
      </w:r>
      <w:proofErr w:type="spellStart"/>
      <w:r w:rsidR="009D60C9" w:rsidRPr="00D65045">
        <w:t>pre</w:t>
      </w:r>
      <w:proofErr w:type="spellEnd"/>
      <w:r w:rsidR="009D60C9" w:rsidRPr="00D65045">
        <w:t xml:space="preserve"> i post testów badających poziom wiedzy merytorycznej pracowników oraz ewaluację szkolenia przy pomocy arkusz AIOS </w:t>
      </w:r>
      <w:r w:rsidR="007F1A79" w:rsidRPr="00D65045">
        <w:t>i przedstawienie analizy</w:t>
      </w:r>
      <w:r w:rsidR="00CC29AA" w:rsidRPr="00D65045">
        <w:t xml:space="preserve"> </w:t>
      </w:r>
      <w:r w:rsidR="007F1A79" w:rsidRPr="00D65045">
        <w:t>Zam</w:t>
      </w:r>
      <w:r w:rsidRPr="00D65045">
        <w:t>awiającemu,</w:t>
      </w:r>
    </w:p>
    <w:p w:rsidR="007F1A79" w:rsidRPr="00D65045" w:rsidRDefault="00885BCA" w:rsidP="00885BCA">
      <w:r w:rsidRPr="00D65045">
        <w:t>5)</w:t>
      </w:r>
      <w:r w:rsidR="007042E0" w:rsidRPr="00D65045">
        <w:t xml:space="preserve"> </w:t>
      </w:r>
      <w:r w:rsidR="00077985" w:rsidRPr="00D65045">
        <w:t>przygotowanie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 xml:space="preserve">) </w:t>
      </w:r>
      <w:r w:rsidR="007F1A79" w:rsidRPr="00D65045">
        <w:t>potwierdzającego odbycie szkolenia dla każdego uczestnika,</w:t>
      </w: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65045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musi </w:t>
      </w:r>
      <w:r w:rsidR="00A20593" w:rsidRPr="00D65045">
        <w:t xml:space="preserve">zostać </w:t>
      </w:r>
      <w:r w:rsidR="005136CD" w:rsidRPr="00D65045"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D65045" w:rsidRDefault="007042E0" w:rsidP="007042E0">
      <w:pPr>
        <w:autoSpaceDE w:val="0"/>
        <w:autoSpaceDN w:val="0"/>
        <w:adjustRightInd w:val="0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trenera/trenerów przewidzianych do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i/>
        </w:rPr>
        <w:t xml:space="preserve">    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szkolenia opracowany przez         Wykonawcę,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4/ aktualne zaświadczenie o wpisie do Centralnej Ewidencji Informacji o Działalności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Gospodarczej  w formie wydruku ze strony internetowej CEDIG (w odniesieniu do</w:t>
      </w:r>
      <w:bookmarkStart w:id="2" w:name="_GoBack"/>
      <w:bookmarkEnd w:id="2"/>
      <w:r w:rsidRPr="00D65045">
        <w:rPr>
          <w:bCs/>
          <w:i/>
        </w:rPr>
        <w:t xml:space="preserve"> podmiotów,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na które przepisy  nakładają obowiązek uzyskania wpisu do tego rejestru) lub wydruk z KRS 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D65045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D65045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A30086" w:rsidRPr="00D65045">
          <w:rPr>
            <w:rStyle w:val="Hipercze"/>
          </w:rPr>
          <w:t>woik19@kielce.uw.gov.pl</w:t>
        </w:r>
      </w:hyperlink>
      <w:r w:rsidR="000209C7" w:rsidRPr="00D65045">
        <w:rPr>
          <w:rStyle w:val="Hipercze"/>
          <w:color w:val="auto"/>
          <w:u w:val="none"/>
        </w:rPr>
        <w:t xml:space="preserve"> </w:t>
      </w:r>
      <w:r w:rsidR="0034332C" w:rsidRPr="00D65045">
        <w:rPr>
          <w:rStyle w:val="Hipercze"/>
          <w:color w:val="auto"/>
          <w:u w:val="none"/>
        </w:rPr>
        <w:t>),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>, poczty,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F33BA6" w:rsidRPr="00D65045">
        <w:rPr>
          <w:rStyle w:val="Hipercze"/>
          <w:b/>
          <w:color w:val="auto"/>
          <w:u w:val="none"/>
        </w:rPr>
        <w:t xml:space="preserve"> </w:t>
      </w:r>
      <w:r w:rsidR="007B52E2" w:rsidRPr="007B52E2">
        <w:rPr>
          <w:rStyle w:val="Hipercze"/>
          <w:b/>
          <w:color w:val="auto"/>
          <w:u w:val="none"/>
        </w:rPr>
        <w:t>9 maja</w:t>
      </w:r>
      <w:r w:rsidR="00CC29AA" w:rsidRPr="007B52E2">
        <w:rPr>
          <w:rStyle w:val="Hipercze"/>
          <w:b/>
          <w:color w:val="auto"/>
          <w:u w:val="none"/>
        </w:rPr>
        <w:t xml:space="preserve"> 2021</w:t>
      </w:r>
      <w:r w:rsidR="00F33BA6" w:rsidRPr="007B52E2">
        <w:rPr>
          <w:rStyle w:val="Hipercze"/>
          <w:b/>
          <w:color w:val="auto"/>
          <w:u w:val="none"/>
        </w:rPr>
        <w:t xml:space="preserve"> r.</w:t>
      </w:r>
      <w:r w:rsidR="00633D5E" w:rsidRPr="00D65045">
        <w:rPr>
          <w:rStyle w:val="Hipercze"/>
          <w:b/>
          <w:color w:val="auto"/>
          <w:u w:val="none"/>
        </w:rPr>
        <w:t xml:space="preserve"> </w:t>
      </w:r>
      <w:r w:rsidR="00F33BA6" w:rsidRPr="00D65045">
        <w:rPr>
          <w:rStyle w:val="Hipercze"/>
          <w:color w:val="auto"/>
          <w:u w:val="none"/>
        </w:rPr>
        <w:t xml:space="preserve">   </w:t>
      </w:r>
    </w:p>
    <w:p w:rsidR="000447B2" w:rsidRPr="00D65045" w:rsidRDefault="000447B2" w:rsidP="00EF6929">
      <w:pPr>
        <w:jc w:val="both"/>
      </w:pPr>
    </w:p>
    <w:p w:rsidR="00F06D5C" w:rsidRPr="00D65045" w:rsidRDefault="00F06D5C" w:rsidP="00EF6929">
      <w:pPr>
        <w:jc w:val="both"/>
      </w:pPr>
    </w:p>
    <w:p w:rsidR="00D24A3F" w:rsidRPr="00D65045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D65045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D65045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D65045">
        <w:rPr>
          <w:rFonts w:ascii="Times New Roman" w:hAnsi="Times New Roman"/>
          <w:b/>
          <w:sz w:val="24"/>
          <w:szCs w:val="24"/>
        </w:rPr>
        <w:t>.</w:t>
      </w:r>
      <w:r w:rsidR="009E7DBB" w:rsidRPr="00D65045">
        <w:rPr>
          <w:rFonts w:ascii="Times New Roman" w:hAnsi="Times New Roman"/>
          <w:b/>
          <w:sz w:val="24"/>
          <w:szCs w:val="24"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lastRenderedPageBreak/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t xml:space="preserve">W =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min</w:t>
      </w:r>
      <w:proofErr w:type="spellEnd"/>
      <w:r w:rsidRPr="00D65045">
        <w:rPr>
          <w:rFonts w:eastAsia="Calibri"/>
          <w:b/>
          <w:bCs/>
          <w:lang w:eastAsia="en-US"/>
        </w:rPr>
        <w:t xml:space="preserve"> :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b</w:t>
      </w:r>
      <w:proofErr w:type="spellEnd"/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min</w:t>
      </w:r>
      <w:proofErr w:type="spellEnd"/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b</w:t>
      </w:r>
      <w:proofErr w:type="spellEnd"/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t>30% - procentowe znaczenie kryterium cena,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t xml:space="preserve"> </w:t>
      </w:r>
    </w:p>
    <w:p w:rsidR="00657C77" w:rsidRPr="00D6504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Wymagania obejmujące potencjał kadrowy – max 40 pkt </w:t>
      </w: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warunek konieczny do spełnienia.  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 w:rsidRPr="00D65045">
        <w:rPr>
          <w:rFonts w:eastAsia="Calibri"/>
        </w:rPr>
        <w:t>(tj.</w:t>
      </w:r>
      <w:r w:rsidR="00554D1C" w:rsidRPr="00D65045">
        <w:t xml:space="preserve"> 01.0</w:t>
      </w:r>
      <w:r w:rsidR="0025007B" w:rsidRPr="00D65045">
        <w:t>4</w:t>
      </w:r>
      <w:r w:rsidR="00554D1C" w:rsidRPr="00D65045">
        <w:t>.201</w:t>
      </w:r>
      <w:r w:rsidR="009D32D4">
        <w:t>8</w:t>
      </w:r>
      <w:r w:rsidR="00554D1C" w:rsidRPr="00D65045">
        <w:t xml:space="preserve"> r. do 31.0</w:t>
      </w:r>
      <w:r w:rsidR="0025007B" w:rsidRPr="00D65045">
        <w:t>3</w:t>
      </w:r>
      <w:r w:rsidR="00554D1C" w:rsidRPr="00D65045">
        <w:t>.2021r</w:t>
      </w:r>
      <w:r w:rsidR="000447B2" w:rsidRPr="00D65045">
        <w:rPr>
          <w:rFonts w:eastAsia="Calibri"/>
        </w:rPr>
        <w:t xml:space="preserve">.) </w:t>
      </w:r>
      <w:r w:rsidR="000447B2" w:rsidRPr="00D65045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 co najmniej 35 godzin szkoleniowych dla grupy co najmniej 10-osobowej, w temacie zgodnym z przedmiotem zamówienia.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D6504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„Potencjał kadrowy”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godzin szkoleniowych w okresie ostatnich dwóch lat </w:t>
      </w:r>
      <w:r w:rsidR="000447B2" w:rsidRPr="00D65045">
        <w:rPr>
          <w:rFonts w:eastAsia="Calibri"/>
          <w:lang w:eastAsia="en-US"/>
        </w:rPr>
        <w:t xml:space="preserve"> </w:t>
      </w:r>
      <w:r w:rsidR="008D2351" w:rsidRPr="00D65045">
        <w:rPr>
          <w:rFonts w:eastAsia="Calibri"/>
        </w:rPr>
        <w:t>(tj.</w:t>
      </w:r>
      <w:r w:rsidR="00C64D3E" w:rsidRPr="00D65045">
        <w:t xml:space="preserve"> </w:t>
      </w:r>
      <w:r w:rsidR="00E13BFA" w:rsidRPr="00D65045">
        <w:t>01.0</w:t>
      </w:r>
      <w:r w:rsidR="0025007B" w:rsidRPr="00D65045">
        <w:t>4</w:t>
      </w:r>
      <w:r w:rsidR="00E13BFA" w:rsidRPr="00D65045">
        <w:t>.201</w:t>
      </w:r>
      <w:r w:rsidR="00A16704">
        <w:t>8</w:t>
      </w:r>
      <w:r w:rsidR="00E13BFA" w:rsidRPr="00D65045">
        <w:t xml:space="preserve"> </w:t>
      </w:r>
      <w:r w:rsidR="00467AE2" w:rsidRPr="00D65045">
        <w:t>r. do 31.0</w:t>
      </w:r>
      <w:r w:rsidR="0025007B" w:rsidRPr="00D65045">
        <w:t>3</w:t>
      </w:r>
      <w:r w:rsidR="00467AE2" w:rsidRPr="00D65045">
        <w:t>.202</w:t>
      </w:r>
      <w:r w:rsidR="00E13BFA" w:rsidRPr="00D65045">
        <w:t>1</w:t>
      </w:r>
      <w:r w:rsidR="00943290" w:rsidRPr="00D65045">
        <w:t>r</w:t>
      </w:r>
      <w:r w:rsidR="008D2351" w:rsidRPr="00D65045">
        <w:rPr>
          <w:rFonts w:eastAsia="Calibri"/>
        </w:rPr>
        <w:t xml:space="preserve">.) </w:t>
      </w:r>
      <w:r w:rsidR="000447B2" w:rsidRPr="00D65045">
        <w:rPr>
          <w:rFonts w:eastAsia="Calibri"/>
        </w:rPr>
        <w:t xml:space="preserve"> </w:t>
      </w:r>
      <w:r w:rsidR="000447B2" w:rsidRPr="00D65045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0D1184" w:rsidRPr="00D6504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35 godzin szkoleniowych- warunek konieczny do spełnienia 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36 do 70 godzin szkoleniowych-       10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71 do 105  godzin szkoleniowych -   15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106 do 140 godzin szkoleniowych-   20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141 do 175 godzin szkoleniowych-   25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176  do  210 godzin szkoleniowych- 30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211 do 245 godzin szkoleniowych-   35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powyżej 246 godzin szkoleniowych-     40 pkt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 </w:t>
      </w:r>
    </w:p>
    <w:p w:rsidR="000447B2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D65045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 warunek konieczny do spełnienia</w:t>
      </w:r>
      <w:r w:rsidRPr="00D65045">
        <w:rPr>
          <w:rFonts w:eastAsia="Calibri"/>
          <w:b/>
          <w:i/>
          <w:lang w:eastAsia="en-US"/>
        </w:rPr>
        <w:t>.</w:t>
      </w:r>
      <w:r w:rsidRPr="00D65045">
        <w:rPr>
          <w:rFonts w:eastAsia="Calibri"/>
          <w:b/>
          <w:lang w:eastAsia="en-US"/>
        </w:rPr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Pr="00D65045">
        <w:rPr>
          <w:b/>
        </w:rPr>
        <w:t>)  0-10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</w:t>
      </w:r>
      <w:r w:rsidRPr="00D65045">
        <w:lastRenderedPageBreak/>
        <w:t>poszczególnych punktów programu szkolenia. Zaproponowana forma prowadzenia szkolenia  odpowiada potrzebom Zamawiającego.</w:t>
      </w:r>
    </w:p>
    <w:p w:rsidR="00514FBC" w:rsidRPr="00D65045" w:rsidRDefault="00514FBC" w:rsidP="00514FBC">
      <w:pPr>
        <w:autoSpaceDE w:val="0"/>
        <w:autoSpaceDN w:val="0"/>
        <w:adjustRightInd w:val="0"/>
        <w:ind w:right="-142"/>
        <w:jc w:val="both"/>
      </w:pPr>
      <w:r w:rsidRPr="00D65045">
        <w:t xml:space="preserve">                   </w:t>
      </w:r>
    </w:p>
    <w:p w:rsidR="00514FBC" w:rsidRPr="00D65045" w:rsidRDefault="00D86387" w:rsidP="00514FBC">
      <w:pPr>
        <w:autoSpaceDE w:val="0"/>
        <w:autoSpaceDN w:val="0"/>
        <w:adjustRightInd w:val="0"/>
        <w:ind w:left="709"/>
        <w:jc w:val="both"/>
      </w:pPr>
      <w:r w:rsidRPr="00D65045">
        <w:rPr>
          <w:b/>
        </w:rPr>
        <w:t>b</w:t>
      </w:r>
      <w:r w:rsidR="00514FBC" w:rsidRPr="00D65045">
        <w:rPr>
          <w:b/>
        </w:rPr>
        <w:t>) 11-20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c)  21-30 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D6504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  <w:r w:rsidRPr="00D65045"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D65045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E" w:rsidRPr="00D65045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D65045">
        <w:t xml:space="preserve">W przypadku dodatkowych pytań proszę o kontakt z p. </w:t>
      </w:r>
      <w:r w:rsidR="00130C5C" w:rsidRPr="00D65045">
        <w:t xml:space="preserve">Beatą Kruk </w:t>
      </w:r>
      <w:r w:rsidRPr="00D65045">
        <w:t xml:space="preserve">, tel. 41 342 </w:t>
      </w:r>
      <w:r w:rsidR="00A30086" w:rsidRPr="00D65045">
        <w:t>18 91</w:t>
      </w:r>
      <w:r w:rsidRPr="00D65045">
        <w:t xml:space="preserve">, </w:t>
      </w:r>
      <w:r w:rsidR="00130C5C" w:rsidRPr="00D65045">
        <w:t xml:space="preserve">  </w:t>
      </w:r>
      <w:r w:rsidRPr="00D65045">
        <w:t xml:space="preserve">e-mail: </w:t>
      </w:r>
      <w:hyperlink r:id="rId10" w:history="1">
        <w:r w:rsidR="00034200" w:rsidRPr="00D65045">
          <w:rPr>
            <w:rStyle w:val="Hipercze"/>
          </w:rPr>
          <w:t>woik19@kielce.uw.gov.pl</w:t>
        </w:r>
      </w:hyperlink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Pr="00D65045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</w:p>
    <w:sectPr w:rsidR="00D401DA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AC" w:rsidRDefault="00AD10AC" w:rsidP="003F64DC">
      <w:r>
        <w:separator/>
      </w:r>
    </w:p>
  </w:endnote>
  <w:endnote w:type="continuationSeparator" w:id="0">
    <w:p w:rsidR="00AD10AC" w:rsidRDefault="00AD10AC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AC" w:rsidRDefault="00AD10AC" w:rsidP="003F64DC">
      <w:r>
        <w:separator/>
      </w:r>
    </w:p>
  </w:footnote>
  <w:footnote w:type="continuationSeparator" w:id="0">
    <w:p w:rsidR="00AD10AC" w:rsidRDefault="00AD10AC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19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7"/>
  </w:num>
  <w:num w:numId="14">
    <w:abstractNumId w:val="10"/>
  </w:num>
  <w:num w:numId="15">
    <w:abstractNumId w:val="22"/>
  </w:num>
  <w:num w:numId="16">
    <w:abstractNumId w:val="15"/>
  </w:num>
  <w:num w:numId="17">
    <w:abstractNumId w:val="2"/>
  </w:num>
  <w:num w:numId="18">
    <w:abstractNumId w:val="16"/>
  </w:num>
  <w:num w:numId="19">
    <w:abstractNumId w:val="20"/>
  </w:num>
  <w:num w:numId="20">
    <w:abstractNumId w:val="18"/>
  </w:num>
  <w:num w:numId="21">
    <w:abstractNumId w:val="12"/>
  </w:num>
  <w:num w:numId="22">
    <w:abstractNumId w:val="21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95D77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6A2A"/>
    <w:rsid w:val="00220015"/>
    <w:rsid w:val="00222C10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675A"/>
    <w:rsid w:val="003D247D"/>
    <w:rsid w:val="003E351F"/>
    <w:rsid w:val="003F30F2"/>
    <w:rsid w:val="003F40DD"/>
    <w:rsid w:val="003F6469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7E2B"/>
    <w:rsid w:val="004A6EE8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64E7"/>
    <w:rsid w:val="00666B5A"/>
    <w:rsid w:val="0066712A"/>
    <w:rsid w:val="00667803"/>
    <w:rsid w:val="006732B0"/>
    <w:rsid w:val="006744DE"/>
    <w:rsid w:val="00692C6A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4B12"/>
    <w:rsid w:val="00B96337"/>
    <w:rsid w:val="00B96B0F"/>
    <w:rsid w:val="00B96C1E"/>
    <w:rsid w:val="00BA2F5F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5207F"/>
    <w:rsid w:val="00D65045"/>
    <w:rsid w:val="00D66F98"/>
    <w:rsid w:val="00D735BF"/>
    <w:rsid w:val="00D7670F"/>
    <w:rsid w:val="00D8015E"/>
    <w:rsid w:val="00D85CD5"/>
    <w:rsid w:val="00D86387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E718A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42EB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8715-6229-45C6-8498-49DEB585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40</cp:revision>
  <cp:lastPrinted>2018-03-13T11:46:00Z</cp:lastPrinted>
  <dcterms:created xsi:type="dcterms:W3CDTF">2020-02-13T11:33:00Z</dcterms:created>
  <dcterms:modified xsi:type="dcterms:W3CDTF">2021-04-30T06:15:00Z</dcterms:modified>
</cp:coreProperties>
</file>