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AB36D6">
        <w:rPr>
          <w:rFonts w:ascii="Arial" w:hAnsi="Arial" w:cs="Arial"/>
        </w:rPr>
        <w:t>4</w:t>
      </w:r>
      <w:bookmarkStart w:id="0" w:name="_GoBack"/>
      <w:bookmarkEnd w:id="0"/>
      <w:r w:rsidR="00C97321">
        <w:rPr>
          <w:rFonts w:ascii="Arial" w:hAnsi="Arial" w:cs="Arial"/>
        </w:rPr>
        <w:t>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FF2199">
        <w:rPr>
          <w:rFonts w:ascii="Times New Roman" w:hAnsi="Times New Roman"/>
          <w:b/>
          <w:sz w:val="24"/>
          <w:szCs w:val="24"/>
        </w:rPr>
        <w:t>Środki odwoławcze i nadzorcze w postępowaniu administracyjnym</w:t>
      </w:r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924B7"/>
    <w:rsid w:val="008F7B64"/>
    <w:rsid w:val="00963926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D79FF"/>
    <w:rsid w:val="00DF567F"/>
    <w:rsid w:val="00E279D6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CB39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17</cp:revision>
  <dcterms:created xsi:type="dcterms:W3CDTF">2019-11-13T09:40:00Z</dcterms:created>
  <dcterms:modified xsi:type="dcterms:W3CDTF">2021-04-22T11:47:00Z</dcterms:modified>
</cp:coreProperties>
</file>