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szkolenia zamkniętego dla </w:t>
      </w:r>
      <w:bookmarkStart w:id="0" w:name="_GoBack"/>
      <w:bookmarkEnd w:id="0"/>
      <w:r w:rsidR="00D661E4">
        <w:rPr>
          <w:rFonts w:ascii="Arial" w:hAnsi="Arial" w:cs="Arial"/>
        </w:rPr>
        <w:t>45</w:t>
      </w:r>
      <w:r w:rsidR="00CC3ED5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CC3ED5" w:rsidRPr="00B33C71" w:rsidRDefault="002026AA" w:rsidP="00CC3ED5">
      <w:pPr>
        <w:spacing w:before="100" w:beforeAutospacing="1" w:after="100" w:afterAutospacing="1"/>
        <w:outlineLvl w:val="1"/>
        <w:rPr>
          <w:b/>
          <w:bCs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Pr="004C1BC7">
        <w:rPr>
          <w:rFonts w:ascii="Arial" w:hAnsi="Arial" w:cs="Arial"/>
        </w:rPr>
        <w:t xml:space="preserve"> </w:t>
      </w:r>
      <w:r w:rsidR="00CC3ED5" w:rsidRPr="00B33C71">
        <w:rPr>
          <w:b/>
          <w:bCs/>
        </w:rPr>
        <w:t xml:space="preserve">Kontrola zarządcza i zarządzanie ryzykiem w sektorze publicznym </w:t>
      </w:r>
    </w:p>
    <w:p w:rsidR="002026AA" w:rsidRPr="004C1BC7" w:rsidRDefault="00CC3ED5" w:rsidP="004A4724">
      <w:pPr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10057B"/>
    <w:rsid w:val="001579B8"/>
    <w:rsid w:val="002026AA"/>
    <w:rsid w:val="003C2CC7"/>
    <w:rsid w:val="004118E8"/>
    <w:rsid w:val="004A4724"/>
    <w:rsid w:val="004C1BC7"/>
    <w:rsid w:val="004D6C1A"/>
    <w:rsid w:val="00662B01"/>
    <w:rsid w:val="006979E0"/>
    <w:rsid w:val="006A1679"/>
    <w:rsid w:val="00861D34"/>
    <w:rsid w:val="008924B7"/>
    <w:rsid w:val="008F7B64"/>
    <w:rsid w:val="00963926"/>
    <w:rsid w:val="00C16A77"/>
    <w:rsid w:val="00CC3ED5"/>
    <w:rsid w:val="00D661E4"/>
    <w:rsid w:val="00D8754C"/>
    <w:rsid w:val="00DA5706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92481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8</cp:revision>
  <dcterms:created xsi:type="dcterms:W3CDTF">2018-03-07T11:36:00Z</dcterms:created>
  <dcterms:modified xsi:type="dcterms:W3CDTF">2019-04-09T10:57:00Z</dcterms:modified>
</cp:coreProperties>
</file>