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 xml:space="preserve">z rozporządzenia Ministra </w:t>
      </w:r>
      <w:proofErr w:type="gramStart"/>
      <w:r w:rsidR="00DE6E02" w:rsidRPr="00D50E50">
        <w:rPr>
          <w:rStyle w:val="Teksttreci"/>
          <w:rFonts w:ascii="Arial Narrow" w:hAnsi="Arial Narrow"/>
          <w:sz w:val="24"/>
        </w:rPr>
        <w:t>Rozwoju  z</w:t>
      </w:r>
      <w:proofErr w:type="gramEnd"/>
      <w:r w:rsidR="00DE6E02" w:rsidRPr="00D50E50">
        <w:rPr>
          <w:rStyle w:val="Teksttreci"/>
          <w:rFonts w:ascii="Arial Narrow" w:hAnsi="Arial Narrow"/>
          <w:sz w:val="24"/>
        </w:rPr>
        <w:t xml:space="preserve">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(czyli: osoba, której dane dotyczą wyrazi zgodę lub w celu ustalenia, dochodzenia lub obrony 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proofErr w:type="gramStart"/>
      <w:r w:rsidR="00D061AC" w:rsidRPr="00896EB7">
        <w:rPr>
          <w:rStyle w:val="Teksttreci"/>
          <w:rFonts w:ascii="Arial Narrow" w:hAnsi="Arial Narrow"/>
          <w:sz w:val="24"/>
        </w:rPr>
        <w:t>o  udzielenie</w:t>
      </w:r>
      <w:proofErr w:type="gramEnd"/>
      <w:r w:rsidR="00D061AC" w:rsidRPr="00896EB7">
        <w:rPr>
          <w:rStyle w:val="Teksttreci"/>
          <w:rFonts w:ascii="Arial Narrow" w:hAnsi="Arial Narrow"/>
          <w:sz w:val="24"/>
        </w:rPr>
        <w:t xml:space="preserve">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</w:t>
      </w:r>
      <w:proofErr w:type="gramStart"/>
      <w:r w:rsidR="001F491C" w:rsidRPr="001F491C">
        <w:rPr>
          <w:rStyle w:val="Teksttreci"/>
          <w:rFonts w:ascii="Arial Narrow" w:hAnsi="Arial Narrow"/>
          <w:sz w:val="24"/>
          <w:szCs w:val="24"/>
        </w:rPr>
        <w:t>tym</w:t>
      </w:r>
      <w:proofErr w:type="gramEnd"/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wystąpienie przez Panią/Pana z żądaniem, o którym mowa w art. 18 RODO, nie ogranicza 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</w:t>
      </w:r>
      <w:proofErr w:type="gramStart"/>
      <w:r w:rsidRPr="0058645B">
        <w:rPr>
          <w:rStyle w:val="Teksttreci2"/>
          <w:rFonts w:ascii="Arial Narrow" w:hAnsi="Arial Narrow"/>
          <w:b w:val="0"/>
          <w:bCs w:val="0"/>
          <w:sz w:val="24"/>
        </w:rPr>
        <w:t>decyzji,</w:t>
      </w:r>
      <w:proofErr w:type="gramEnd"/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 xml:space="preserve">Podanie przez Panią/Pana danych osobowych jest wymogiem ustawowym, wynika z ww. przepisów prawa. Konsekwencją ich </w:t>
      </w:r>
      <w:proofErr w:type="gramStart"/>
      <w:r w:rsidRPr="0058645B">
        <w:rPr>
          <w:rStyle w:val="Teksttreci"/>
          <w:rFonts w:ascii="Arial Narrow" w:hAnsi="Arial Narrow"/>
          <w:sz w:val="24"/>
        </w:rPr>
        <w:t>nie podania</w:t>
      </w:r>
      <w:proofErr w:type="gramEnd"/>
      <w:r w:rsidRPr="0058645B">
        <w:rPr>
          <w:rStyle w:val="Teksttreci"/>
          <w:rFonts w:ascii="Arial Narrow" w:hAnsi="Arial Narrow"/>
          <w:sz w:val="24"/>
        </w:rPr>
        <w:t xml:space="preserve">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headerReference w:type="default" r:id="rId10"/>
      <w:footerReference w:type="default" r:id="rId11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C1" w:rsidRDefault="00AB7EC1" w:rsidP="00F1454E">
      <w:r>
        <w:separator/>
      </w:r>
    </w:p>
  </w:endnote>
  <w:endnote w:type="continuationSeparator" w:id="0">
    <w:p w:rsidR="00AB7EC1" w:rsidRDefault="00AB7EC1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C1" w:rsidRDefault="00AB7EC1" w:rsidP="00F1454E">
      <w:r>
        <w:separator/>
      </w:r>
    </w:p>
  </w:footnote>
  <w:footnote w:type="continuationSeparator" w:id="0">
    <w:p w:rsidR="00AB7EC1" w:rsidRDefault="00AB7EC1" w:rsidP="00F1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042" w:rsidRPr="00F255C8" w:rsidRDefault="005F2042" w:rsidP="005F2042">
    <w:pPr>
      <w:jc w:val="right"/>
      <w:rPr>
        <w:rFonts w:ascii="Arial Narrow" w:hAnsi="Arial Narrow" w:cs="Arial"/>
      </w:rPr>
    </w:pPr>
    <w:r w:rsidRPr="00F255C8"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4</w:t>
    </w:r>
    <w:r w:rsidRPr="00F255C8">
      <w:rPr>
        <w:rFonts w:ascii="Arial Narrow" w:hAnsi="Arial Narrow" w:cs="Arial"/>
      </w:rPr>
      <w:t xml:space="preserve"> do Zaproszenia </w:t>
    </w:r>
  </w:p>
  <w:p w:rsidR="005F2042" w:rsidRPr="00F255C8" w:rsidRDefault="005F2042" w:rsidP="005F2042">
    <w:pPr>
      <w:jc w:val="right"/>
      <w:rPr>
        <w:rFonts w:ascii="Arial Narrow" w:hAnsi="Arial Narrow" w:cs="Arial"/>
      </w:rPr>
    </w:pPr>
    <w:r w:rsidRPr="00F255C8">
      <w:rPr>
        <w:rFonts w:ascii="Arial Narrow" w:hAnsi="Arial Narrow" w:cs="Arial"/>
      </w:rPr>
      <w:t>Znak:</w:t>
    </w:r>
    <w:r w:rsidRPr="00F255C8">
      <w:rPr>
        <w:rFonts w:ascii="Arial Narrow" w:hAnsi="Arial Narrow"/>
      </w:rPr>
      <w:t xml:space="preserve"> OK.V.123</w:t>
    </w:r>
    <w:r>
      <w:rPr>
        <w:rFonts w:ascii="Arial Narrow" w:hAnsi="Arial Narrow"/>
      </w:rPr>
      <w:t>3</w:t>
    </w:r>
    <w:r w:rsidRPr="00F255C8">
      <w:rPr>
        <w:rFonts w:ascii="Arial Narrow" w:hAnsi="Arial Narrow"/>
      </w:rPr>
      <w:t>.</w:t>
    </w:r>
    <w:r>
      <w:rPr>
        <w:rFonts w:ascii="Arial Narrow" w:hAnsi="Arial Narrow"/>
      </w:rPr>
      <w:t>28</w:t>
    </w:r>
    <w:r w:rsidRPr="00F255C8">
      <w:rPr>
        <w:rFonts w:ascii="Arial Narrow" w:hAnsi="Arial Narrow"/>
      </w:rPr>
      <w:t>.201</w:t>
    </w:r>
    <w:r>
      <w:rPr>
        <w:rFonts w:ascii="Arial Narrow" w:hAnsi="Arial Narrow"/>
      </w:rPr>
      <w:t>9</w:t>
    </w:r>
  </w:p>
  <w:p w:rsidR="005F2042" w:rsidRPr="005F2042" w:rsidRDefault="005F2042" w:rsidP="005F2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0C6EA8"/>
    <w:rsid w:val="001464C1"/>
    <w:rsid w:val="00163C51"/>
    <w:rsid w:val="001B5449"/>
    <w:rsid w:val="001B7ED1"/>
    <w:rsid w:val="001C5F93"/>
    <w:rsid w:val="001F491C"/>
    <w:rsid w:val="00241A31"/>
    <w:rsid w:val="00246B41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507F88"/>
    <w:rsid w:val="0058645B"/>
    <w:rsid w:val="005E6A92"/>
    <w:rsid w:val="005F204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AB7EC1"/>
    <w:rsid w:val="00B04CA8"/>
    <w:rsid w:val="00B650F8"/>
    <w:rsid w:val="00B74F8F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C50B-BB01-4AFF-9A3B-3AA58B24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Salwa, Krzysztof</cp:lastModifiedBy>
  <cp:revision>2</cp:revision>
  <cp:lastPrinted>2019-08-19T11:09:00Z</cp:lastPrinted>
  <dcterms:created xsi:type="dcterms:W3CDTF">2019-11-22T11:09:00Z</dcterms:created>
  <dcterms:modified xsi:type="dcterms:W3CDTF">2019-11-22T11:09:00Z</dcterms:modified>
</cp:coreProperties>
</file>