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>szkolenia zamkniętego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1D5E0E">
        <w:rPr>
          <w:rFonts w:ascii="Arial" w:hAnsi="Arial" w:cs="Arial"/>
        </w:rPr>
        <w:t>35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C313A8">
        <w:rPr>
          <w:rFonts w:ascii="Times New Roman" w:hAnsi="Times New Roman"/>
          <w:b/>
          <w:sz w:val="24"/>
          <w:szCs w:val="24"/>
        </w:rPr>
        <w:t>Finanse publiczne w praktyce. Kompendium obowiązujących przepisów</w:t>
      </w:r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BE34B2"/>
    <w:rsid w:val="00C16A77"/>
    <w:rsid w:val="00C313A8"/>
    <w:rsid w:val="00CB023B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8</cp:revision>
  <dcterms:created xsi:type="dcterms:W3CDTF">2019-11-13T09:40:00Z</dcterms:created>
  <dcterms:modified xsi:type="dcterms:W3CDTF">2020-06-22T13:09:00Z</dcterms:modified>
</cp:coreProperties>
</file>